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D7" w:rsidRDefault="006A3ACF" w:rsidP="006A3ACF">
      <w:pPr>
        <w:rPr>
          <w:rFonts w:ascii="AR BERKLEY" w:hAnsi="AR BERKLEY"/>
          <w:sz w:val="40"/>
        </w:rPr>
      </w:pPr>
      <w:r>
        <w:t xml:space="preserve">                                            </w:t>
      </w:r>
      <w:r>
        <w:rPr>
          <w:rFonts w:ascii="AR BERKLEY" w:hAnsi="AR BERKLEY"/>
          <w:sz w:val="40"/>
        </w:rPr>
        <w:t xml:space="preserve">  </w:t>
      </w:r>
      <w:r w:rsidR="00472A4B">
        <w:rPr>
          <w:rFonts w:ascii="AR BERKLEY" w:hAnsi="AR BERKLEY"/>
          <w:sz w:val="40"/>
        </w:rPr>
        <w:t xml:space="preserve">  </w:t>
      </w:r>
      <w:r w:rsidR="005149FC">
        <w:rPr>
          <w:noProof/>
          <w:sz w:val="18"/>
        </w:rPr>
        <w:drawing>
          <wp:inline distT="0" distB="0" distL="0" distR="0">
            <wp:extent cx="3034926" cy="1196340"/>
            <wp:effectExtent l="19050" t="0" r="0" b="0"/>
            <wp:docPr id="2" name="Immagine 1" descr="Logo x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x carta intesta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926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5D7" w:rsidRDefault="00B745D7" w:rsidP="00B745D7">
      <w:pPr>
        <w:jc w:val="center"/>
        <w:rPr>
          <w:rFonts w:ascii="AR BERKLEY" w:hAnsi="AR BERKLEY"/>
          <w:sz w:val="40"/>
        </w:rPr>
      </w:pPr>
    </w:p>
    <w:p w:rsidR="005149FC" w:rsidRPr="006A3ACF" w:rsidRDefault="005149FC" w:rsidP="005149FC">
      <w:pPr>
        <w:jc w:val="both"/>
        <w:rPr>
          <w:rFonts w:asciiTheme="minorHAnsi" w:eastAsia="MS Mincho" w:hAnsiTheme="minorHAnsi"/>
          <w:szCs w:val="24"/>
          <w:lang w:eastAsia="ja-JP"/>
        </w:rPr>
      </w:pPr>
      <w:r w:rsidRPr="006A3ACF">
        <w:rPr>
          <w:rFonts w:asciiTheme="minorHAnsi" w:eastAsia="MS Mincho" w:hAnsiTheme="minorHAnsi"/>
          <w:szCs w:val="24"/>
          <w:lang w:eastAsia="ja-JP"/>
        </w:rPr>
        <w:t xml:space="preserve">L’Associazione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NeuroCare</w:t>
      </w:r>
      <w:proofErr w:type="spellEnd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 xml:space="preserve">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onlus</w:t>
      </w:r>
      <w:proofErr w:type="spellEnd"/>
      <w:r w:rsidRPr="006A3ACF">
        <w:rPr>
          <w:rFonts w:asciiTheme="minorHAnsi" w:eastAsia="MS Mincho" w:hAnsiTheme="minorHAnsi"/>
          <w:b/>
          <w:szCs w:val="24"/>
          <w:lang w:eastAsia="ja-JP"/>
        </w:rPr>
        <w:t xml:space="preserve"> 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nasce nel gennaio 2008 con l’obiettivo di offrire assistenza e sostegno alle persone colpite da malattia neurologica ed alle loro famiglie; per promuovere e sviluppare la prevenzione e la ricerca scientifica nel campo della salute e delle neuroscienze; per contribuire a diffondere presso le istituzioni e nel tessuto sociale la conoscenza delle problematiche complesse correlate alle malattie neurologiche; per realizzare progetti culturali, formativi, scientifici, </w:t>
      </w:r>
      <w:proofErr w:type="spellStart"/>
      <w:r w:rsidRPr="006A3ACF">
        <w:rPr>
          <w:rFonts w:asciiTheme="minorHAnsi" w:eastAsia="MS Mincho" w:hAnsiTheme="minorHAnsi"/>
          <w:szCs w:val="24"/>
          <w:lang w:eastAsia="ja-JP"/>
        </w:rPr>
        <w:t>clinico-riabilitativi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>, socio-assistenziali.</w:t>
      </w:r>
    </w:p>
    <w:p w:rsidR="005149FC" w:rsidRPr="006A3ACF" w:rsidRDefault="005149FC" w:rsidP="005149FC">
      <w:pPr>
        <w:jc w:val="both"/>
        <w:rPr>
          <w:rFonts w:asciiTheme="minorHAnsi" w:eastAsia="MS Mincho" w:hAnsiTheme="minorHAnsi"/>
          <w:smallCaps/>
          <w:szCs w:val="24"/>
          <w:lang w:eastAsia="ja-JP"/>
        </w:rPr>
      </w:pPr>
      <w:r w:rsidRPr="006A3ACF">
        <w:rPr>
          <w:rFonts w:asciiTheme="minorHAnsi" w:eastAsia="MS Mincho" w:hAnsiTheme="minorHAnsi"/>
          <w:szCs w:val="24"/>
          <w:lang w:eastAsia="ja-JP"/>
        </w:rPr>
        <w:t xml:space="preserve">Ad 8 anni di distanza,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NeuroCare</w:t>
      </w:r>
      <w:proofErr w:type="spellEnd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 xml:space="preserve">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onlus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 ha già realizzato numerose iniziative sul territorio della Provincia di Pisa e su quello delle zone limitrofe, alcune delle quali sono divenute progetti permanenti:</w:t>
      </w:r>
    </w:p>
    <w:p w:rsidR="005149FC" w:rsidRPr="006A3ACF" w:rsidRDefault="005149FC" w:rsidP="005149FC">
      <w:pPr>
        <w:widowControl/>
        <w:numPr>
          <w:ilvl w:val="0"/>
          <w:numId w:val="2"/>
        </w:numPr>
        <w:overflowPunct/>
        <w:autoSpaceDN/>
        <w:adjustRightInd/>
        <w:jc w:val="both"/>
        <w:rPr>
          <w:rFonts w:asciiTheme="minorHAnsi" w:eastAsia="MS Mincho" w:hAnsiTheme="minorHAnsi"/>
          <w:smallCaps/>
          <w:szCs w:val="24"/>
          <w:lang w:eastAsia="ja-JP"/>
        </w:rPr>
      </w:pPr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La Creatività come 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Autoterapia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 - un laboratorio dedicato alla riabilitazione integrata della persona afasica e del malato neurologico con difficoltà comunicative;</w:t>
      </w:r>
    </w:p>
    <w:p w:rsidR="005149FC" w:rsidRPr="006A3ACF" w:rsidRDefault="005149FC" w:rsidP="005149FC">
      <w:pPr>
        <w:widowControl/>
        <w:numPr>
          <w:ilvl w:val="0"/>
          <w:numId w:val="2"/>
        </w:numPr>
        <w:overflowPunct/>
        <w:autoSpaceDN/>
        <w:adjustRightInd/>
        <w:jc w:val="both"/>
        <w:rPr>
          <w:rFonts w:asciiTheme="minorHAnsi" w:eastAsia="MS Mincho" w:hAnsiTheme="minorHAnsi"/>
          <w:szCs w:val="24"/>
          <w:lang w:eastAsia="ja-JP"/>
        </w:rPr>
      </w:pP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IntegrArti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 - un percorso per sostenere il volontario nella relazione d’aiuto attraverso i linguaggi analogici;</w:t>
      </w:r>
    </w:p>
    <w:p w:rsidR="005149FC" w:rsidRPr="006A3ACF" w:rsidRDefault="005149FC" w:rsidP="005149FC">
      <w:pPr>
        <w:widowControl/>
        <w:numPr>
          <w:ilvl w:val="0"/>
          <w:numId w:val="2"/>
        </w:numPr>
        <w:overflowPunct/>
        <w:autoSpaceDN/>
        <w:adjustRightInd/>
        <w:jc w:val="both"/>
        <w:rPr>
          <w:rFonts w:asciiTheme="minorHAnsi" w:eastAsia="MS Mincho" w:hAnsiTheme="minorHAnsi"/>
          <w:szCs w:val="24"/>
          <w:lang w:eastAsia="ja-JP"/>
        </w:rPr>
      </w:pPr>
      <w:r w:rsidRPr="006A3ACF">
        <w:rPr>
          <w:rFonts w:asciiTheme="minorHAnsi" w:eastAsia="MS Mincho" w:hAnsiTheme="minorHAnsi"/>
          <w:smallCaps/>
          <w:szCs w:val="24"/>
          <w:lang w:eastAsia="ja-JP"/>
        </w:rPr>
        <w:t>Biodanza la Terza Età – anche con indebolimento cognitivo</w:t>
      </w:r>
    </w:p>
    <w:p w:rsidR="005149FC" w:rsidRPr="006A3ACF" w:rsidRDefault="005149FC" w:rsidP="005149FC">
      <w:pPr>
        <w:jc w:val="both"/>
        <w:rPr>
          <w:rFonts w:asciiTheme="minorHAnsi" w:eastAsia="MS Mincho" w:hAnsiTheme="minorHAnsi"/>
          <w:smallCaps/>
          <w:szCs w:val="24"/>
          <w:lang w:eastAsia="ja-JP"/>
        </w:rPr>
      </w:pPr>
      <w:r w:rsidRPr="006A3ACF">
        <w:rPr>
          <w:rFonts w:asciiTheme="minorHAnsi" w:eastAsia="MS Mincho" w:hAnsiTheme="minorHAnsi"/>
          <w:szCs w:val="24"/>
          <w:lang w:eastAsia="ja-JP"/>
        </w:rPr>
        <w:t>Altre importanti iniziative sono state:</w:t>
      </w:r>
    </w:p>
    <w:p w:rsidR="005149FC" w:rsidRPr="006A3ACF" w:rsidRDefault="005149FC" w:rsidP="005149FC">
      <w:pPr>
        <w:widowControl/>
        <w:numPr>
          <w:ilvl w:val="0"/>
          <w:numId w:val="1"/>
        </w:numPr>
        <w:overflowPunct/>
        <w:autoSpaceDN/>
        <w:adjustRightInd/>
        <w:jc w:val="both"/>
        <w:rPr>
          <w:rFonts w:asciiTheme="minorHAnsi" w:eastAsia="MS Mincho" w:hAnsiTheme="minorHAnsi"/>
          <w:szCs w:val="24"/>
          <w:lang w:eastAsia="ja-JP"/>
        </w:rPr>
      </w:pPr>
      <w:r w:rsidRPr="006A3ACF">
        <w:rPr>
          <w:rFonts w:asciiTheme="minorHAnsi" w:eastAsia="MS Mincho" w:hAnsiTheme="minorHAnsi"/>
          <w:smallCaps/>
          <w:szCs w:val="24"/>
          <w:lang w:eastAsia="ja-JP"/>
        </w:rPr>
        <w:t>Esperimenti di Dialogo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, un Concorso regionale sulla risposta dell’Arte alla difficoltà comunicativa (CESVOT </w:t>
      </w:r>
      <w:r w:rsidRPr="006A3ACF">
        <w:rPr>
          <w:rFonts w:asciiTheme="minorHAnsi" w:eastAsia="MS Mincho" w:hAnsiTheme="minorHAnsi"/>
          <w:i/>
          <w:szCs w:val="24"/>
          <w:lang w:eastAsia="ja-JP"/>
        </w:rPr>
        <w:t>Dall’Idea al Progetto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 2009);</w:t>
      </w:r>
    </w:p>
    <w:p w:rsidR="005149FC" w:rsidRPr="006A3ACF" w:rsidRDefault="005149FC" w:rsidP="005149FC">
      <w:pPr>
        <w:widowControl/>
        <w:numPr>
          <w:ilvl w:val="0"/>
          <w:numId w:val="1"/>
        </w:numPr>
        <w:overflowPunct/>
        <w:autoSpaceDN/>
        <w:adjustRightInd/>
        <w:jc w:val="both"/>
        <w:rPr>
          <w:rFonts w:asciiTheme="minorHAnsi" w:eastAsia="MS Mincho" w:hAnsiTheme="minorHAnsi"/>
          <w:b/>
          <w:i/>
          <w:szCs w:val="24"/>
          <w:lang w:eastAsia="ja-JP"/>
        </w:rPr>
      </w:pPr>
      <w:r w:rsidRPr="006A3ACF">
        <w:rPr>
          <w:rFonts w:asciiTheme="minorHAnsi" w:eastAsia="MS Mincho" w:hAnsiTheme="minorHAnsi"/>
          <w:szCs w:val="24"/>
          <w:lang w:eastAsia="ja-JP"/>
        </w:rPr>
        <w:t xml:space="preserve">Corso 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SpettAttori</w:t>
      </w:r>
      <w:proofErr w:type="spellEnd"/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 Senior </w:t>
      </w:r>
      <w:r w:rsidRPr="006A3ACF">
        <w:rPr>
          <w:rFonts w:asciiTheme="minorHAnsi" w:eastAsia="MS Mincho" w:hAnsiTheme="minorHAnsi"/>
          <w:szCs w:val="24"/>
          <w:lang w:eastAsia="ja-JP"/>
        </w:rPr>
        <w:t>(2014).</w:t>
      </w:r>
    </w:p>
    <w:p w:rsidR="005149FC" w:rsidRPr="006A3ACF" w:rsidRDefault="005149FC" w:rsidP="005149FC">
      <w:pPr>
        <w:jc w:val="both"/>
        <w:rPr>
          <w:rFonts w:asciiTheme="minorHAnsi" w:eastAsia="MS Mincho" w:hAnsiTheme="minorHAnsi"/>
          <w:b/>
          <w:i/>
          <w:szCs w:val="24"/>
          <w:lang w:eastAsia="ja-JP"/>
        </w:rPr>
      </w:pP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NeuroCare</w:t>
      </w:r>
      <w:proofErr w:type="spellEnd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 xml:space="preserve">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onlus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 ha anche organizzato il Congresso Nazionale </w:t>
      </w:r>
      <w:r w:rsidRPr="006A3ACF">
        <w:rPr>
          <w:rFonts w:asciiTheme="minorHAnsi" w:eastAsia="MS Mincho" w:hAnsiTheme="minorHAnsi"/>
          <w:smallCaps/>
          <w:szCs w:val="24"/>
          <w:lang w:eastAsia="ja-JP"/>
        </w:rPr>
        <w:t>La Relazionalità in Neurologia. Dalla Multidisciplinarietà all’Interdisciplinarietà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 (Cascina - Polo Tecnologico di </w:t>
      </w:r>
      <w:proofErr w:type="spellStart"/>
      <w:r w:rsidRPr="006A3ACF">
        <w:rPr>
          <w:rFonts w:asciiTheme="minorHAnsi" w:eastAsia="MS Mincho" w:hAnsiTheme="minorHAnsi"/>
          <w:szCs w:val="24"/>
          <w:lang w:eastAsia="ja-JP"/>
        </w:rPr>
        <w:t>Navacchio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, 18-19/12/09); altri Convegni sul territorio sono stati: </w:t>
      </w:r>
      <w:r w:rsidRPr="006A3ACF">
        <w:rPr>
          <w:rFonts w:asciiTheme="minorHAnsi" w:eastAsia="MS Mincho" w:hAnsiTheme="minorHAnsi"/>
          <w:smallCaps/>
          <w:szCs w:val="24"/>
          <w:lang w:eastAsia="ja-JP"/>
        </w:rPr>
        <w:t>Incontriamo la Badante (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2010); </w:t>
      </w:r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La Persona che ha cura della 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Persona…Badante</w:t>
      </w:r>
      <w:proofErr w:type="spellEnd"/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 a Chi? (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2011); </w:t>
      </w:r>
      <w:r w:rsidRPr="006A3ACF">
        <w:rPr>
          <w:rFonts w:asciiTheme="minorHAnsi" w:eastAsia="MS Mincho" w:hAnsiTheme="minorHAnsi"/>
          <w:smallCaps/>
          <w:szCs w:val="24"/>
          <w:lang w:eastAsia="ja-JP"/>
        </w:rPr>
        <w:t>Il Volontariato Toscano per il Malato neurologico e la sua Famiglia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 (2010, 2011, 2012 -Patrocinio CESVOT); </w:t>
      </w:r>
      <w:r w:rsidRPr="006A3ACF">
        <w:rPr>
          <w:rFonts w:asciiTheme="minorHAnsi" w:eastAsia="MS Mincho" w:hAnsiTheme="minorHAnsi"/>
          <w:smallCaps/>
          <w:szCs w:val="24"/>
          <w:lang w:eastAsia="ja-JP"/>
        </w:rPr>
        <w:t>L'Arte nel Cervello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 (realizzato in collaborazione con il Dipartimento di Neuroscienze dell’Università di Pisa nel 2011).</w:t>
      </w:r>
    </w:p>
    <w:p w:rsidR="005149FC" w:rsidRPr="006A3ACF" w:rsidRDefault="005149FC" w:rsidP="005149FC">
      <w:pPr>
        <w:jc w:val="both"/>
        <w:rPr>
          <w:rFonts w:asciiTheme="minorHAnsi" w:eastAsia="MS Mincho" w:hAnsiTheme="minorHAnsi"/>
          <w:szCs w:val="24"/>
          <w:lang w:eastAsia="ja-JP"/>
        </w:rPr>
      </w:pP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NeuroCare</w:t>
      </w:r>
      <w:proofErr w:type="spellEnd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 xml:space="preserve">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onlus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 è anche l’ideatrice di iniziative innovative sul piano culturale e della prevenzione come </w:t>
      </w:r>
      <w:r w:rsidRPr="006A3ACF">
        <w:rPr>
          <w:rFonts w:asciiTheme="minorHAnsi" w:eastAsia="MS Mincho" w:hAnsiTheme="minorHAnsi"/>
          <w:smallCaps/>
          <w:szCs w:val="24"/>
          <w:lang w:eastAsia="ja-JP"/>
        </w:rPr>
        <w:t>Poeti anche nella Malattia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 (2010) e </w:t>
      </w:r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La Tombola di 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NeuroCare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 (2010), per offrire una cornice socializzante e ricreativa ad argomenti importanti legati alla salute ed alla qualità di vita; </w:t>
      </w:r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Per Arrivare lontano 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…un</w:t>
      </w:r>
      <w:proofErr w:type="spellEnd"/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 Percorso di Immagini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 per la produzione di tre videoclip promozionali (2012); </w:t>
      </w:r>
      <w:r w:rsidRPr="006A3ACF">
        <w:rPr>
          <w:rFonts w:asciiTheme="minorHAnsi" w:eastAsia="MS Mincho" w:hAnsiTheme="minorHAnsi"/>
          <w:smallCaps/>
          <w:szCs w:val="24"/>
          <w:lang w:eastAsia="ja-JP"/>
        </w:rPr>
        <w:t>Naturale.. è Sociale</w:t>
      </w:r>
      <w:r w:rsidRPr="006A3ACF">
        <w:rPr>
          <w:rFonts w:asciiTheme="minorHAnsi" w:eastAsia="MS Mincho" w:hAnsiTheme="minorHAnsi"/>
          <w:szCs w:val="24"/>
          <w:lang w:eastAsia="ja-JP"/>
        </w:rPr>
        <w:t>, un Corso di formazione per promuovere stili di vita più sani, ecologici e socialmente equi (2012).</w:t>
      </w:r>
    </w:p>
    <w:p w:rsidR="005149FC" w:rsidRPr="006A3ACF" w:rsidRDefault="005149FC" w:rsidP="005149FC">
      <w:pPr>
        <w:jc w:val="both"/>
        <w:rPr>
          <w:rFonts w:asciiTheme="minorHAnsi" w:eastAsia="MS Mincho" w:hAnsiTheme="minorHAnsi"/>
          <w:szCs w:val="24"/>
          <w:lang w:eastAsia="ja-JP"/>
        </w:rPr>
      </w:pPr>
      <w:r w:rsidRPr="006A3ACF">
        <w:rPr>
          <w:rFonts w:asciiTheme="minorHAnsi" w:eastAsia="MS Mincho" w:hAnsiTheme="minorHAnsi"/>
          <w:szCs w:val="24"/>
          <w:lang w:eastAsia="ja-JP"/>
        </w:rPr>
        <w:t xml:space="preserve">L’attuale importante impegno di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NeuroCare</w:t>
      </w:r>
      <w:proofErr w:type="spellEnd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 xml:space="preserve">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onlus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 è la continuazione (con risorse proprie) del Progetto 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Caregiver</w:t>
      </w:r>
      <w:proofErr w:type="spellEnd"/>
      <w:r w:rsidRPr="006A3ACF">
        <w:rPr>
          <w:rFonts w:asciiTheme="minorHAnsi" w:eastAsia="MS Mincho" w:hAnsiTheme="minorHAnsi"/>
          <w:smallCaps/>
          <w:szCs w:val="24"/>
          <w:lang w:eastAsia="ja-JP"/>
        </w:rPr>
        <w:t>. Le Mani che tengono le Mani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 (CESVOT </w:t>
      </w:r>
      <w:r w:rsidRPr="006A3ACF">
        <w:rPr>
          <w:rFonts w:asciiTheme="minorHAnsi" w:eastAsia="MS Mincho" w:hAnsiTheme="minorHAnsi"/>
          <w:i/>
          <w:szCs w:val="24"/>
          <w:lang w:eastAsia="ja-JP"/>
        </w:rPr>
        <w:t>Bando Innovazione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 2011). Il Progetto ha previsto l’apertura di uno sportello telefonico interlacciato con un servizio di informazione e consulenza via web (</w:t>
      </w:r>
      <w:hyperlink r:id="rId6" w:history="1">
        <w:r w:rsidRPr="006A3ACF">
          <w:rPr>
            <w:rStyle w:val="Collegamentoipertestuale"/>
            <w:rFonts w:asciiTheme="minorHAnsi" w:eastAsia="MS Mincho" w:hAnsiTheme="minorHAnsi"/>
            <w:i/>
            <w:szCs w:val="24"/>
            <w:lang w:eastAsia="ja-JP"/>
          </w:rPr>
          <w:t>www.neurocaregiver.it</w:t>
        </w:r>
      </w:hyperlink>
      <w:r w:rsidRPr="006A3ACF">
        <w:rPr>
          <w:rFonts w:asciiTheme="minorHAnsi" w:eastAsia="MS Mincho" w:hAnsiTheme="minorHAnsi"/>
          <w:szCs w:val="24"/>
          <w:lang w:eastAsia="ja-JP"/>
        </w:rPr>
        <w:t xml:space="preserve">) a favore delle famiglie coinvolte nell’assistenza neurologica, nonché un percorso formativo a sostegno dei </w:t>
      </w:r>
      <w:proofErr w:type="spellStart"/>
      <w:r w:rsidRPr="006A3ACF">
        <w:rPr>
          <w:rFonts w:asciiTheme="minorHAnsi" w:eastAsia="MS Mincho" w:hAnsiTheme="minorHAnsi"/>
          <w:szCs w:val="24"/>
          <w:lang w:eastAsia="ja-JP"/>
        </w:rPr>
        <w:t>caregiver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 su Pisa e su Livorno.</w:t>
      </w:r>
    </w:p>
    <w:p w:rsidR="005149FC" w:rsidRPr="006A3ACF" w:rsidRDefault="005149FC" w:rsidP="005149FC">
      <w:pPr>
        <w:jc w:val="both"/>
        <w:rPr>
          <w:rFonts w:asciiTheme="minorHAnsi" w:eastAsia="MS Mincho" w:hAnsiTheme="minorHAnsi"/>
          <w:szCs w:val="24"/>
          <w:lang w:eastAsia="ja-JP"/>
        </w:rPr>
      </w:pPr>
      <w:r w:rsidRPr="006A3ACF">
        <w:rPr>
          <w:rFonts w:asciiTheme="minorHAnsi" w:eastAsia="MS Mincho" w:hAnsiTheme="minorHAnsi"/>
          <w:szCs w:val="24"/>
          <w:lang w:eastAsia="ja-JP"/>
        </w:rPr>
        <w:t>A</w:t>
      </w:r>
      <w:r w:rsidR="00A96249" w:rsidRPr="006A3ACF">
        <w:rPr>
          <w:rFonts w:asciiTheme="minorHAnsi" w:eastAsia="MS Mincho" w:hAnsiTheme="minorHAnsi"/>
          <w:szCs w:val="24"/>
          <w:lang w:eastAsia="ja-JP"/>
        </w:rPr>
        <w:t xml:space="preserve"> tutt’oggi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NeuroCare</w:t>
      </w:r>
      <w:proofErr w:type="spellEnd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 xml:space="preserve"> </w:t>
      </w:r>
      <w:proofErr w:type="spellStart"/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onlus</w:t>
      </w:r>
      <w:proofErr w:type="spellEnd"/>
      <w:r w:rsidRPr="006A3ACF">
        <w:rPr>
          <w:rFonts w:asciiTheme="minorHAnsi" w:eastAsia="MS Mincho" w:hAnsiTheme="minorHAnsi"/>
          <w:szCs w:val="24"/>
          <w:lang w:eastAsia="ja-JP"/>
        </w:rPr>
        <w:t xml:space="preserve">, ultimato il Progetto 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Perattivare</w:t>
      </w:r>
      <w:proofErr w:type="spellEnd"/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 l’Anziano Pisano Indigente (PAPI). Mantenere attivo l’anziano indigente sul piano 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cognitivo-relazionale</w:t>
      </w:r>
      <w:proofErr w:type="spellEnd"/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 per preservare la sua qualità di vita (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prog</w:t>
      </w:r>
      <w:proofErr w:type="spellEnd"/>
      <w:r w:rsidRPr="006A3ACF">
        <w:rPr>
          <w:rFonts w:asciiTheme="minorHAnsi" w:eastAsia="MS Mincho" w:hAnsiTheme="minorHAnsi"/>
          <w:smallCaps/>
          <w:szCs w:val="24"/>
          <w:lang w:eastAsia="ja-JP"/>
        </w:rPr>
        <w:t>. n. 87/13)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 che ha ottenuto il finanziamento della </w:t>
      </w:r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Fondazione Pisa</w:t>
      </w:r>
      <w:r w:rsidRPr="006A3ACF">
        <w:rPr>
          <w:rFonts w:asciiTheme="minorHAnsi" w:eastAsia="MS Mincho" w:hAnsiTheme="minorHAnsi"/>
          <w:szCs w:val="24"/>
          <w:lang w:eastAsia="ja-JP"/>
        </w:rPr>
        <w:t>, sta proseguendo nella stessa direzione, realizzando il Progetto PAPI-II (</w:t>
      </w:r>
      <w:proofErr w:type="spellStart"/>
      <w:r w:rsidRPr="006A3ACF">
        <w:rPr>
          <w:rFonts w:asciiTheme="minorHAnsi" w:eastAsia="MS Mincho" w:hAnsiTheme="minorHAnsi"/>
          <w:smallCaps/>
          <w:szCs w:val="24"/>
          <w:lang w:eastAsia="ja-JP"/>
        </w:rPr>
        <w:t>prog</w:t>
      </w:r>
      <w:proofErr w:type="spellEnd"/>
      <w:r w:rsidRPr="006A3ACF">
        <w:rPr>
          <w:rFonts w:asciiTheme="minorHAnsi" w:eastAsia="MS Mincho" w:hAnsiTheme="minorHAnsi"/>
          <w:smallCaps/>
          <w:szCs w:val="24"/>
          <w:lang w:eastAsia="ja-JP"/>
        </w:rPr>
        <w:t xml:space="preserve">. n. </w:t>
      </w:r>
      <w:r w:rsidRPr="006A3ACF">
        <w:rPr>
          <w:rFonts w:asciiTheme="minorHAnsi" w:eastAsia="MS Mincho" w:hAnsiTheme="minorHAnsi"/>
          <w:szCs w:val="24"/>
          <w:lang w:eastAsia="ja-JP"/>
        </w:rPr>
        <w:t xml:space="preserve">85/15), ulteriore implementazione/estensione del precedente, grazie al finanziamento accordatole dalla medesima </w:t>
      </w:r>
      <w:r w:rsidRPr="006A3ACF">
        <w:rPr>
          <w:rFonts w:asciiTheme="minorHAnsi" w:eastAsia="MS Mincho" w:hAnsiTheme="minorHAnsi"/>
          <w:b/>
          <w:i/>
          <w:szCs w:val="24"/>
          <w:lang w:eastAsia="ja-JP"/>
        </w:rPr>
        <w:t>Fondazione Pisa.</w:t>
      </w:r>
    </w:p>
    <w:p w:rsidR="00957BEE" w:rsidRPr="005A2A54" w:rsidRDefault="00957BEE">
      <w:pPr>
        <w:rPr>
          <w:rFonts w:ascii="AR BERKLEY" w:hAnsi="AR BERKLEY"/>
          <w:sz w:val="40"/>
        </w:rPr>
      </w:pPr>
    </w:p>
    <w:sectPr w:rsidR="00957BEE" w:rsidRPr="005A2A54" w:rsidSect="00627A08"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BERKLEY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it-IT" w:eastAsia="ja-JP"/>
      </w:rPr>
    </w:lvl>
  </w:abstractNum>
  <w:abstractNum w:abstractNumId="1">
    <w:nsid w:val="00000007"/>
    <w:multiLevelType w:val="singleLevel"/>
    <w:tmpl w:val="00000007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  <w:lang w:val="it-IT" w:eastAsia="ja-JP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745D7"/>
    <w:rsid w:val="00180993"/>
    <w:rsid w:val="002B5A03"/>
    <w:rsid w:val="002F0916"/>
    <w:rsid w:val="003A03CE"/>
    <w:rsid w:val="00472A4B"/>
    <w:rsid w:val="005149FC"/>
    <w:rsid w:val="005A2A54"/>
    <w:rsid w:val="00627A08"/>
    <w:rsid w:val="006A3ACF"/>
    <w:rsid w:val="006F0551"/>
    <w:rsid w:val="00957BEE"/>
    <w:rsid w:val="00A96249"/>
    <w:rsid w:val="00AB4CD5"/>
    <w:rsid w:val="00B57744"/>
    <w:rsid w:val="00B61E07"/>
    <w:rsid w:val="00B745D7"/>
    <w:rsid w:val="00CF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45D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45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45D7"/>
    <w:rPr>
      <w:rFonts w:ascii="Tahoma" w:eastAsia="Times New Roman" w:hAnsi="Tahoma" w:cs="Tahoma"/>
      <w:kern w:val="2"/>
      <w:sz w:val="16"/>
      <w:szCs w:val="16"/>
      <w:lang w:eastAsia="it-IT"/>
    </w:rPr>
  </w:style>
  <w:style w:type="character" w:styleId="Collegamentoipertestuale">
    <w:name w:val="Hyperlink"/>
    <w:semiHidden/>
    <w:rsid w:val="005149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D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45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5D7"/>
    <w:rPr>
      <w:rFonts w:ascii="Tahoma" w:eastAsia="Times New Roman" w:hAnsi="Tahoma" w:cs="Tahoma"/>
      <w:kern w:val="2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urocaregiver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10</cp:revision>
  <dcterms:created xsi:type="dcterms:W3CDTF">2016-06-01T15:55:00Z</dcterms:created>
  <dcterms:modified xsi:type="dcterms:W3CDTF">2016-10-28T11:10:00Z</dcterms:modified>
</cp:coreProperties>
</file>